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4DDA" w14:textId="77777777" w:rsidR="00DB0C9F" w:rsidRDefault="00DB0C9F" w:rsidP="00DB0C9F">
      <w:pPr>
        <w:pStyle w:val="Titre"/>
        <w:rPr>
          <w:rFonts w:ascii="Garamond" w:hAnsi="Garamond"/>
          <w:sz w:val="32"/>
          <w:szCs w:val="32"/>
        </w:rPr>
      </w:pPr>
      <w:r w:rsidRPr="00D3697A">
        <w:rPr>
          <w:rFonts w:ascii="Garamond" w:hAnsi="Garamond"/>
          <w:sz w:val="32"/>
          <w:szCs w:val="32"/>
        </w:rPr>
        <w:t>Socio-anthropologie de la mort et du deuil</w:t>
      </w:r>
      <w:r>
        <w:rPr>
          <w:rFonts w:ascii="Garamond" w:hAnsi="Garamond"/>
          <w:sz w:val="32"/>
          <w:szCs w:val="32"/>
        </w:rPr>
        <w:t xml:space="preserve"> </w:t>
      </w:r>
    </w:p>
    <w:p w14:paraId="73740B10" w14:textId="3F6964D9" w:rsidR="002B3C5C" w:rsidRPr="00DB0C9F" w:rsidRDefault="00DB0C9F" w:rsidP="00DB0C9F">
      <w:pPr>
        <w:jc w:val="center"/>
        <w:rPr>
          <w:i/>
          <w:iCs/>
        </w:rPr>
      </w:pPr>
      <w:r w:rsidRPr="00DB0C9F">
        <w:rPr>
          <w:i/>
          <w:iCs/>
        </w:rPr>
        <w:t>Martin Julier-Costes</w:t>
      </w:r>
    </w:p>
    <w:p w14:paraId="31170098" w14:textId="5A7EA51A" w:rsidR="00DB0C9F" w:rsidRDefault="00DB0C9F" w:rsidP="00DB0C9F"/>
    <w:p w14:paraId="6D3A2A5C" w14:textId="77777777" w:rsidR="00DB0C9F" w:rsidRDefault="00DB0C9F" w:rsidP="00DB0C9F">
      <w:pPr>
        <w:jc w:val="both"/>
        <w:rPr>
          <w:rFonts w:ascii="Garamond" w:hAnsi="Garamond"/>
          <w:snapToGrid w:val="0"/>
          <w:color w:val="000000"/>
        </w:rPr>
      </w:pPr>
    </w:p>
    <w:p w14:paraId="32292F2B" w14:textId="1B791BD2" w:rsidR="008A3B66" w:rsidRDefault="00DB0C9F" w:rsidP="00DB0C9F">
      <w:pPr>
        <w:jc w:val="both"/>
        <w:rPr>
          <w:rFonts w:ascii="Garamond" w:hAnsi="Garamond"/>
          <w:snapToGrid w:val="0"/>
          <w:color w:val="000000"/>
        </w:rPr>
      </w:pPr>
      <w:r w:rsidRPr="00D3697A">
        <w:rPr>
          <w:rFonts w:ascii="Garamond" w:hAnsi="Garamond"/>
          <w:snapToGrid w:val="0"/>
          <w:color w:val="000000"/>
        </w:rPr>
        <w:t xml:space="preserve">L’objectif de </w:t>
      </w:r>
      <w:r>
        <w:rPr>
          <w:rFonts w:ascii="Garamond" w:hAnsi="Garamond"/>
          <w:snapToGrid w:val="0"/>
          <w:color w:val="000000"/>
        </w:rPr>
        <w:t>ce CM</w:t>
      </w:r>
      <w:r w:rsidRPr="00D3697A">
        <w:rPr>
          <w:rFonts w:ascii="Garamond" w:hAnsi="Garamond"/>
          <w:snapToGrid w:val="0"/>
          <w:color w:val="000000"/>
        </w:rPr>
        <w:t xml:space="preserve"> </w:t>
      </w:r>
      <w:r>
        <w:rPr>
          <w:rFonts w:ascii="Garamond" w:hAnsi="Garamond"/>
          <w:snapToGrid w:val="0"/>
          <w:color w:val="000000"/>
        </w:rPr>
        <w:t>est</w:t>
      </w:r>
      <w:r w:rsidRPr="00D3697A">
        <w:rPr>
          <w:rFonts w:ascii="Garamond" w:hAnsi="Garamond"/>
          <w:snapToGrid w:val="0"/>
          <w:color w:val="000000"/>
        </w:rPr>
        <w:t xml:space="preserve"> de vous présenter une manière de penser, de réfléchir nos rapports à la mort et aux morts (rites, deuil, fin de vie, etc.) dans </w:t>
      </w:r>
      <w:r>
        <w:rPr>
          <w:rFonts w:ascii="Garamond" w:hAnsi="Garamond"/>
          <w:snapToGrid w:val="0"/>
          <w:color w:val="000000"/>
        </w:rPr>
        <w:t>le</w:t>
      </w:r>
      <w:r w:rsidRPr="00D3697A">
        <w:rPr>
          <w:rFonts w:ascii="Garamond" w:hAnsi="Garamond"/>
          <w:snapToGrid w:val="0"/>
          <w:color w:val="000000"/>
        </w:rPr>
        <w:t>s sociétés occidentales</w:t>
      </w:r>
      <w:r>
        <w:rPr>
          <w:rFonts w:ascii="Garamond" w:hAnsi="Garamond"/>
          <w:snapToGrid w:val="0"/>
          <w:color w:val="000000"/>
        </w:rPr>
        <w:t xml:space="preserve"> et d’apporter de la matière à penser pour votre pratique professionnelle (réflexivité). </w:t>
      </w:r>
    </w:p>
    <w:p w14:paraId="102D16DE" w14:textId="77777777" w:rsidR="00673A15" w:rsidRDefault="00673A15" w:rsidP="00DB0C9F">
      <w:pPr>
        <w:jc w:val="both"/>
        <w:rPr>
          <w:rFonts w:ascii="Garamond" w:hAnsi="Garamond"/>
          <w:snapToGrid w:val="0"/>
          <w:color w:val="000000"/>
        </w:rPr>
      </w:pPr>
    </w:p>
    <w:p w14:paraId="5BDE2765" w14:textId="668FB53F" w:rsidR="00DB0C9F" w:rsidRPr="004F6F98" w:rsidRDefault="00DB0C9F" w:rsidP="00DB0C9F">
      <w:pPr>
        <w:jc w:val="both"/>
        <w:rPr>
          <w:rFonts w:ascii="Garamond" w:hAnsi="Garamond"/>
          <w:snapToGrid w:val="0"/>
          <w:color w:val="000000"/>
        </w:rPr>
      </w:pPr>
      <w:r>
        <w:rPr>
          <w:rFonts w:ascii="Garamond" w:hAnsi="Garamond"/>
          <w:snapToGrid w:val="0"/>
          <w:color w:val="000000"/>
        </w:rPr>
        <w:t xml:space="preserve">Ce cours s’inscrit </w:t>
      </w:r>
      <w:r w:rsidRPr="00D3697A">
        <w:rPr>
          <w:rFonts w:ascii="Garamond" w:hAnsi="Garamond"/>
          <w:snapToGrid w:val="0"/>
          <w:color w:val="000000"/>
        </w:rPr>
        <w:t>dans un</w:t>
      </w:r>
      <w:r>
        <w:rPr>
          <w:rFonts w:ascii="Garamond" w:hAnsi="Garamond"/>
          <w:snapToGrid w:val="0"/>
          <w:color w:val="000000"/>
        </w:rPr>
        <w:t xml:space="preserve"> prisme </w:t>
      </w:r>
      <w:r w:rsidRPr="00D3697A">
        <w:rPr>
          <w:rFonts w:ascii="Garamond" w:hAnsi="Garamond"/>
          <w:snapToGrid w:val="0"/>
          <w:color w:val="000000"/>
        </w:rPr>
        <w:t xml:space="preserve">socio-anthropologique, </w:t>
      </w:r>
      <w:r>
        <w:rPr>
          <w:rFonts w:ascii="Garamond" w:hAnsi="Garamond"/>
          <w:snapToGrid w:val="0"/>
          <w:color w:val="000000"/>
        </w:rPr>
        <w:t>nous tenterons</w:t>
      </w:r>
      <w:r w:rsidRPr="00D3697A">
        <w:rPr>
          <w:rFonts w:ascii="Garamond" w:hAnsi="Garamond"/>
          <w:snapToGrid w:val="0"/>
          <w:color w:val="000000"/>
        </w:rPr>
        <w:t xml:space="preserve"> </w:t>
      </w:r>
      <w:r w:rsidRPr="00D3697A">
        <w:rPr>
          <w:rFonts w:ascii="Garamond" w:hAnsi="Garamond"/>
        </w:rPr>
        <w:t>de comprendre les grands mécanismes de nos réactions face à la mort, que l’on pourrait théoriquement reprendre de tout temps et partout dans le monde</w:t>
      </w:r>
      <w:r>
        <w:rPr>
          <w:rFonts w:ascii="Garamond" w:hAnsi="Garamond"/>
        </w:rPr>
        <w:t xml:space="preserve"> (</w:t>
      </w:r>
      <w:r w:rsidRPr="00DB0C9F">
        <w:rPr>
          <w:rFonts w:ascii="Garamond" w:hAnsi="Garamond"/>
          <w:i/>
          <w:iCs/>
        </w:rPr>
        <w:t>invariants anthropologique</w:t>
      </w:r>
      <w:r>
        <w:rPr>
          <w:rFonts w:ascii="Garamond" w:hAnsi="Garamond"/>
          <w:i/>
          <w:iCs/>
        </w:rPr>
        <w:t>s</w:t>
      </w:r>
      <w:r>
        <w:rPr>
          <w:rFonts w:ascii="Garamond" w:hAnsi="Garamond"/>
        </w:rPr>
        <w:t>)</w:t>
      </w:r>
      <w:r w:rsidR="004F6F98">
        <w:rPr>
          <w:rFonts w:ascii="Garamond" w:hAnsi="Garamond"/>
        </w:rPr>
        <w:t xml:space="preserve"> tout en décrivant et analysant notre contexte actuel : ce qui se fait/se pense / se pratique aujourd’hui lors d’une fin de vie, d’un décès et du deuil, quels sont les enjeux et les acteurs impliqués. En fonction de vos intérêts et de l’actualité, nous réfléchirons à privilégier certaines thématiques. </w:t>
      </w:r>
      <w:r w:rsidR="00126588">
        <w:rPr>
          <w:rFonts w:ascii="Garamond" w:hAnsi="Garamond"/>
        </w:rPr>
        <w:t>Par son approche, ce cours est pensé comme dynamique et fait appel aux expériences et réflexions des étudiant.e.s.</w:t>
      </w:r>
    </w:p>
    <w:p w14:paraId="4790C723" w14:textId="0FA3C7D7" w:rsidR="00DB0C9F" w:rsidRDefault="00DB0C9F" w:rsidP="00DB0C9F">
      <w:pPr>
        <w:rPr>
          <w:rFonts w:ascii="Garamond" w:hAnsi="Garamond"/>
          <w:snapToGrid w:val="0"/>
          <w:color w:val="000000"/>
        </w:rPr>
      </w:pPr>
    </w:p>
    <w:p w14:paraId="19363C0E" w14:textId="260F4EC5" w:rsidR="00126588" w:rsidRDefault="00126588" w:rsidP="00DB0C9F">
      <w:pPr>
        <w:rPr>
          <w:rFonts w:ascii="Garamond" w:hAnsi="Garamond"/>
          <w:snapToGrid w:val="0"/>
          <w:color w:val="000000"/>
        </w:rPr>
      </w:pPr>
    </w:p>
    <w:p w14:paraId="344DA872" w14:textId="69E05324" w:rsidR="00126588" w:rsidRPr="00126588" w:rsidRDefault="00126588" w:rsidP="00DB0C9F">
      <w:pPr>
        <w:rPr>
          <w:rFonts w:ascii="Garamond" w:hAnsi="Garamond"/>
          <w:b/>
          <w:bCs/>
          <w:snapToGrid w:val="0"/>
          <w:color w:val="000000"/>
        </w:rPr>
      </w:pPr>
      <w:r w:rsidRPr="00126588">
        <w:rPr>
          <w:rFonts w:ascii="Garamond" w:hAnsi="Garamond"/>
          <w:b/>
          <w:bCs/>
          <w:snapToGrid w:val="0"/>
          <w:color w:val="000000"/>
        </w:rPr>
        <w:t>Articles</w:t>
      </w:r>
    </w:p>
    <w:p w14:paraId="5DE26970" w14:textId="77777777" w:rsidR="00126588" w:rsidRPr="00126588" w:rsidRDefault="00126588" w:rsidP="00DB0C9F">
      <w:pPr>
        <w:rPr>
          <w:rFonts w:ascii="Garamond" w:hAnsi="Garamond"/>
          <w:b/>
          <w:bCs/>
          <w:snapToGrid w:val="0"/>
          <w:color w:val="000000"/>
          <w:u w:val="single"/>
        </w:rPr>
      </w:pPr>
    </w:p>
    <w:p w14:paraId="71604DDE" w14:textId="687AE056" w:rsidR="00126588" w:rsidRPr="00507CC3" w:rsidRDefault="00126588" w:rsidP="00126588">
      <w:pPr>
        <w:jc w:val="both"/>
        <w:rPr>
          <w:rFonts w:ascii="Garamond" w:hAnsi="Garamond"/>
          <w:snapToGrid w:val="0"/>
          <w:color w:val="000000"/>
        </w:rPr>
      </w:pPr>
      <w:r>
        <w:rPr>
          <w:rFonts w:ascii="Garamond" w:hAnsi="Garamond"/>
          <w:snapToGrid w:val="0"/>
          <w:color w:val="000000"/>
        </w:rPr>
        <w:t xml:space="preserve">Déchaux J-H. </w:t>
      </w:r>
      <w:r w:rsidRPr="00507CC3">
        <w:rPr>
          <w:rFonts w:ascii="Garamond" w:hAnsi="Garamond"/>
          <w:snapToGrid w:val="0"/>
          <w:color w:val="000000"/>
        </w:rPr>
        <w:t>Mourir à l’aube du XXIe siècle :</w:t>
      </w:r>
    </w:p>
    <w:p w14:paraId="1698267A" w14:textId="77777777" w:rsidR="00126588" w:rsidRPr="00507CC3" w:rsidRDefault="00E55BF3" w:rsidP="00126588">
      <w:pPr>
        <w:jc w:val="both"/>
        <w:rPr>
          <w:rFonts w:ascii="Garamond" w:hAnsi="Garamond"/>
          <w:snapToGrid w:val="0"/>
          <w:color w:val="000000"/>
        </w:rPr>
      </w:pPr>
      <w:hyperlink r:id="rId5" w:history="1">
        <w:r w:rsidR="00126588" w:rsidRPr="00507CC3">
          <w:rPr>
            <w:rStyle w:val="Lienhypertexte"/>
            <w:rFonts w:ascii="Garamond" w:hAnsi="Garamond"/>
            <w:snapToGrid w:val="0"/>
          </w:rPr>
          <w:t>https://www.cairn.info/revue-gerontologie-et-societe1-2002-3-page-253.htm</w:t>
        </w:r>
      </w:hyperlink>
    </w:p>
    <w:p w14:paraId="6608CE4A" w14:textId="77777777" w:rsidR="00126588" w:rsidRPr="00507CC3" w:rsidRDefault="00126588" w:rsidP="00126588">
      <w:pPr>
        <w:jc w:val="both"/>
        <w:rPr>
          <w:rFonts w:ascii="Garamond" w:hAnsi="Garamond"/>
          <w:snapToGrid w:val="0"/>
          <w:color w:val="000000"/>
        </w:rPr>
      </w:pPr>
    </w:p>
    <w:p w14:paraId="536B6B7C" w14:textId="71911887" w:rsidR="00126588" w:rsidRPr="00507CC3" w:rsidRDefault="00126588" w:rsidP="00126588">
      <w:pPr>
        <w:jc w:val="both"/>
        <w:rPr>
          <w:rFonts w:ascii="Garamond" w:hAnsi="Garamond"/>
          <w:snapToGrid w:val="0"/>
          <w:color w:val="000000"/>
        </w:rPr>
      </w:pPr>
      <w:r>
        <w:rPr>
          <w:rFonts w:ascii="Garamond" w:hAnsi="Garamond"/>
          <w:snapToGrid w:val="0"/>
          <w:color w:val="000000"/>
        </w:rPr>
        <w:t xml:space="preserve">Castra M., </w:t>
      </w:r>
      <w:r w:rsidRPr="00507CC3">
        <w:rPr>
          <w:rFonts w:ascii="Garamond" w:hAnsi="Garamond"/>
          <w:snapToGrid w:val="0"/>
          <w:color w:val="000000"/>
        </w:rPr>
        <w:t>Les transformations sociales de la fin de vie et de la mort dans les sociétés contemporaines :</w:t>
      </w:r>
      <w:r>
        <w:rPr>
          <w:rFonts w:ascii="Garamond" w:hAnsi="Garamond"/>
          <w:snapToGrid w:val="0"/>
          <w:color w:val="000000"/>
        </w:rPr>
        <w:t xml:space="preserve"> </w:t>
      </w:r>
      <w:hyperlink r:id="rId6" w:history="1">
        <w:r w:rsidRPr="00341CAB">
          <w:rPr>
            <w:rStyle w:val="Lienhypertexte"/>
            <w:rFonts w:ascii="Garamond" w:hAnsi="Garamond"/>
            <w:snapToGrid w:val="0"/>
          </w:rPr>
          <w:t>https://www.cairn.info/revue-empan-2015-1-page-12.htm</w:t>
        </w:r>
      </w:hyperlink>
    </w:p>
    <w:p w14:paraId="3BF09AE2" w14:textId="2296AF25" w:rsidR="00126588" w:rsidRDefault="00126588" w:rsidP="00DB0C9F"/>
    <w:p w14:paraId="648920B3" w14:textId="33FD1B6B" w:rsidR="00126588" w:rsidRDefault="00126588" w:rsidP="00126588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Ouvrages </w:t>
      </w:r>
    </w:p>
    <w:p w14:paraId="65BDAE5F" w14:textId="0FBCC97E" w:rsidR="00126588" w:rsidRPr="00507CC3" w:rsidRDefault="00126588" w:rsidP="00126588">
      <w:pPr>
        <w:spacing w:line="360" w:lineRule="auto"/>
        <w:jc w:val="both"/>
        <w:rPr>
          <w:rFonts w:ascii="Garamond" w:hAnsi="Garamond"/>
        </w:rPr>
      </w:pPr>
      <w:r w:rsidRPr="00507CC3">
        <w:rPr>
          <w:rFonts w:ascii="Garamond" w:hAnsi="Garamond"/>
          <w:b/>
        </w:rPr>
        <w:t>Clavandier G.</w:t>
      </w:r>
      <w:r w:rsidRPr="00507CC3">
        <w:rPr>
          <w:rFonts w:ascii="Garamond" w:hAnsi="Garamond"/>
        </w:rPr>
        <w:t xml:space="preserve"> (2009), </w:t>
      </w:r>
      <w:r w:rsidRPr="00507CC3">
        <w:rPr>
          <w:rFonts w:ascii="Garamond" w:hAnsi="Garamond"/>
          <w:i/>
          <w:iCs/>
        </w:rPr>
        <w:t xml:space="preserve">Sociologie de la mort, Vivre et mourir dans la </w:t>
      </w:r>
      <w:r w:rsidR="00673A15" w:rsidRPr="00507CC3">
        <w:rPr>
          <w:rFonts w:ascii="Garamond" w:hAnsi="Garamond"/>
          <w:i/>
          <w:iCs/>
        </w:rPr>
        <w:t>société</w:t>
      </w:r>
      <w:r w:rsidRPr="00507CC3">
        <w:rPr>
          <w:rFonts w:ascii="Garamond" w:hAnsi="Garamond"/>
          <w:i/>
          <w:iCs/>
        </w:rPr>
        <w:t>́ contemporaine</w:t>
      </w:r>
      <w:r>
        <w:rPr>
          <w:rFonts w:ascii="Garamond" w:hAnsi="Garamond"/>
        </w:rPr>
        <w:t>,</w:t>
      </w:r>
      <w:r w:rsidRPr="00507CC3">
        <w:rPr>
          <w:rFonts w:ascii="Garamond" w:hAnsi="Garamond"/>
        </w:rPr>
        <w:t xml:space="preserve"> Armand Colin</w:t>
      </w:r>
    </w:p>
    <w:p w14:paraId="3AC07A84" w14:textId="77777777" w:rsidR="00126588" w:rsidRPr="00126588" w:rsidRDefault="00126588" w:rsidP="00126588">
      <w:pPr>
        <w:spacing w:line="360" w:lineRule="auto"/>
        <w:jc w:val="both"/>
        <w:rPr>
          <w:rFonts w:ascii="Garamond" w:hAnsi="Garamond"/>
        </w:rPr>
      </w:pPr>
      <w:proofErr w:type="spellStart"/>
      <w:r w:rsidRPr="00126588">
        <w:rPr>
          <w:rFonts w:ascii="Garamond" w:hAnsi="Garamond"/>
          <w:b/>
        </w:rPr>
        <w:t>Despret</w:t>
      </w:r>
      <w:proofErr w:type="spellEnd"/>
      <w:r w:rsidRPr="00126588">
        <w:rPr>
          <w:rFonts w:ascii="Garamond" w:hAnsi="Garamond"/>
          <w:b/>
        </w:rPr>
        <w:t xml:space="preserve"> V.</w:t>
      </w:r>
      <w:r w:rsidRPr="00126588">
        <w:rPr>
          <w:rFonts w:ascii="Garamond" w:hAnsi="Garamond"/>
        </w:rPr>
        <w:t xml:space="preserve"> (2015), </w:t>
      </w:r>
      <w:r w:rsidRPr="00126588">
        <w:rPr>
          <w:rFonts w:ascii="Garamond" w:hAnsi="Garamond"/>
          <w:i/>
          <w:iCs/>
        </w:rPr>
        <w:t>Au bonheur des morts. Récits de ceux qui restent</w:t>
      </w:r>
      <w:r w:rsidRPr="00126588">
        <w:rPr>
          <w:rFonts w:ascii="Garamond" w:hAnsi="Garamond"/>
        </w:rPr>
        <w:t>, Paris, La Découverte</w:t>
      </w:r>
    </w:p>
    <w:p w14:paraId="4DA59E7B" w14:textId="7BB86FB4" w:rsidR="00126588" w:rsidRPr="00126588" w:rsidRDefault="00126588" w:rsidP="00126588">
      <w:pPr>
        <w:spacing w:line="360" w:lineRule="auto"/>
        <w:jc w:val="both"/>
        <w:rPr>
          <w:rFonts w:ascii="Garamond" w:hAnsi="Garamond"/>
        </w:rPr>
      </w:pPr>
      <w:r w:rsidRPr="00126588">
        <w:rPr>
          <w:rFonts w:ascii="Garamond" w:hAnsi="Garamond"/>
          <w:b/>
        </w:rPr>
        <w:t>Molinié M.</w:t>
      </w:r>
      <w:r w:rsidRPr="00126588">
        <w:rPr>
          <w:rFonts w:ascii="Garamond" w:hAnsi="Garamond"/>
        </w:rPr>
        <w:t xml:space="preserve"> (2006), </w:t>
      </w:r>
      <w:r w:rsidRPr="00126588">
        <w:rPr>
          <w:rFonts w:ascii="Garamond" w:hAnsi="Garamond"/>
          <w:i/>
          <w:iCs/>
        </w:rPr>
        <w:t>Soigner les morts pour guérir les vivants</w:t>
      </w:r>
      <w:r w:rsidRPr="00126588">
        <w:rPr>
          <w:rFonts w:ascii="Garamond" w:hAnsi="Garamond"/>
        </w:rPr>
        <w:t>. Les empêcheurs de tourner en rond</w:t>
      </w:r>
    </w:p>
    <w:p w14:paraId="1F3C0DE6" w14:textId="00A178D8" w:rsidR="00126588" w:rsidRPr="00507CC3" w:rsidRDefault="00126588" w:rsidP="00126588">
      <w:pPr>
        <w:spacing w:line="360" w:lineRule="auto"/>
        <w:jc w:val="both"/>
        <w:rPr>
          <w:rFonts w:ascii="Garamond" w:hAnsi="Garamond"/>
        </w:rPr>
      </w:pPr>
      <w:r w:rsidRPr="00507CC3">
        <w:rPr>
          <w:rFonts w:ascii="Garamond" w:hAnsi="Garamond"/>
          <w:b/>
        </w:rPr>
        <w:t>Thomas</w:t>
      </w:r>
      <w:r w:rsidRPr="00507CC3">
        <w:rPr>
          <w:rFonts w:ascii="Garamond" w:hAnsi="Garamond"/>
        </w:rPr>
        <w:t xml:space="preserve"> </w:t>
      </w:r>
      <w:r w:rsidRPr="00507CC3">
        <w:rPr>
          <w:rFonts w:ascii="Garamond" w:hAnsi="Garamond"/>
          <w:b/>
        </w:rPr>
        <w:t>L-V.</w:t>
      </w:r>
      <w:r w:rsidRPr="00507CC3">
        <w:rPr>
          <w:rFonts w:ascii="Garamond" w:hAnsi="Garamond"/>
        </w:rPr>
        <w:t xml:space="preserve"> (1985). </w:t>
      </w:r>
      <w:r w:rsidRPr="00507CC3">
        <w:rPr>
          <w:rFonts w:ascii="Garamond" w:hAnsi="Garamond"/>
          <w:i/>
          <w:iCs/>
        </w:rPr>
        <w:t>Rites de mort : pour la paix des vivants</w:t>
      </w:r>
      <w:r w:rsidRPr="00507CC3">
        <w:rPr>
          <w:rFonts w:ascii="Garamond" w:hAnsi="Garamond"/>
        </w:rPr>
        <w:t>. Fayard</w:t>
      </w:r>
    </w:p>
    <w:p w14:paraId="5DEDEC7F" w14:textId="77777777" w:rsidR="00126588" w:rsidRPr="00454588" w:rsidRDefault="00126588" w:rsidP="00126588">
      <w:pPr>
        <w:spacing w:line="360" w:lineRule="auto"/>
        <w:jc w:val="both"/>
        <w:rPr>
          <w:rFonts w:ascii="Garamond" w:hAnsi="Garamond"/>
        </w:rPr>
      </w:pPr>
      <w:r w:rsidRPr="00507CC3">
        <w:rPr>
          <w:rFonts w:ascii="Garamond" w:hAnsi="Garamond"/>
          <w:b/>
        </w:rPr>
        <w:t>Roudaut K</w:t>
      </w:r>
      <w:r w:rsidRPr="00507CC3">
        <w:rPr>
          <w:rFonts w:ascii="Garamond" w:hAnsi="Garamond"/>
        </w:rPr>
        <w:t xml:space="preserve">. (2012), </w:t>
      </w:r>
      <w:r w:rsidRPr="00507CC3">
        <w:rPr>
          <w:rFonts w:ascii="Garamond" w:hAnsi="Garamond"/>
          <w:i/>
          <w:iCs/>
        </w:rPr>
        <w:t>Ceux qui restent. Une sociologie du deuil</w:t>
      </w:r>
      <w:r w:rsidRPr="00507CC3">
        <w:rPr>
          <w:rFonts w:ascii="Garamond" w:hAnsi="Garamond"/>
        </w:rPr>
        <w:t>. PU Rennes</w:t>
      </w:r>
    </w:p>
    <w:p w14:paraId="09C9D6A4" w14:textId="77777777" w:rsidR="00126588" w:rsidRDefault="00126588" w:rsidP="00DB0C9F"/>
    <w:sectPr w:rsidR="00126588" w:rsidSect="00524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B330A"/>
    <w:multiLevelType w:val="hybridMultilevel"/>
    <w:tmpl w:val="E77641EC"/>
    <w:lvl w:ilvl="0" w:tplc="E090AD60">
      <w:start w:val="20"/>
      <w:numFmt w:val="bullet"/>
      <w:lvlText w:val="-"/>
      <w:lvlJc w:val="left"/>
      <w:pPr>
        <w:ind w:left="1776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9F"/>
    <w:rsid w:val="00126588"/>
    <w:rsid w:val="002B3C5C"/>
    <w:rsid w:val="002D3C6D"/>
    <w:rsid w:val="004F6F98"/>
    <w:rsid w:val="00524837"/>
    <w:rsid w:val="00673A15"/>
    <w:rsid w:val="008A3B66"/>
    <w:rsid w:val="00DB0C9F"/>
    <w:rsid w:val="00E5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95640"/>
  <w15:chartTrackingRefBased/>
  <w15:docId w15:val="{1429BC71-DA3D-E748-BA31-63FBD466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C9F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C9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itre">
    <w:name w:val="Title"/>
    <w:basedOn w:val="Normal"/>
    <w:link w:val="TitreCar"/>
    <w:qFormat/>
    <w:rsid w:val="00DB0C9F"/>
    <w:pPr>
      <w:jc w:val="center"/>
    </w:pPr>
    <w:rPr>
      <w:b/>
      <w:snapToGrid w:val="0"/>
      <w:color w:val="000000"/>
      <w:sz w:val="28"/>
      <w:szCs w:val="20"/>
    </w:rPr>
  </w:style>
  <w:style w:type="character" w:customStyle="1" w:styleId="TitreCar">
    <w:name w:val="Titre Car"/>
    <w:basedOn w:val="Policepardfaut"/>
    <w:link w:val="Titre"/>
    <w:rsid w:val="00DB0C9F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DB0C9F"/>
    <w:pPr>
      <w:spacing w:before="100" w:beforeAutospacing="1" w:after="100" w:afterAutospacing="1"/>
    </w:pPr>
    <w:rPr>
      <w:lang w:val="fr-CH"/>
    </w:rPr>
  </w:style>
  <w:style w:type="character" w:styleId="Lienhypertexte">
    <w:name w:val="Hyperlink"/>
    <w:basedOn w:val="Policepardfaut"/>
    <w:uiPriority w:val="99"/>
    <w:unhideWhenUsed/>
    <w:rsid w:val="001265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6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irn.info/revue-empan-2015-1-page-12.htm" TargetMode="External"/><Relationship Id="rId5" Type="http://schemas.openxmlformats.org/officeDocument/2006/relationships/hyperlink" Target="https://www.cairn.info/revue-gerontologie-et-societe1-2002-3-page-25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Julier-Costes Martin</dc:creator>
  <cp:keywords/>
  <dc:description/>
  <cp:lastModifiedBy>Julier-Costes Martin</cp:lastModifiedBy>
  <cp:revision>3</cp:revision>
  <dcterms:created xsi:type="dcterms:W3CDTF">2022-09-29T09:59:00Z</dcterms:created>
  <dcterms:modified xsi:type="dcterms:W3CDTF">2022-10-05T13:41:00Z</dcterms:modified>
</cp:coreProperties>
</file>